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091C9C9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F4CD7">
        <w:rPr>
          <w:b w:val="0"/>
          <w:sz w:val="24"/>
          <w:szCs w:val="24"/>
        </w:rPr>
        <w:t>04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20B0369" w:rsidR="00502664" w:rsidRPr="0000209B" w:rsidRDefault="00D1610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976A1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976A1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976A16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A27787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30149E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03F70E6C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321AB472" w14:textId="77777777" w:rsidR="006F4CD7" w:rsidRPr="007B247E" w:rsidRDefault="006F4CD7" w:rsidP="006F4CD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45894DB5" w14:textId="77777777" w:rsidR="006F4CD7" w:rsidRPr="007B247E" w:rsidRDefault="006F4CD7" w:rsidP="006F4CD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3F76FFDB" w14:textId="77777777" w:rsidR="006F4CD7" w:rsidRPr="007B247E" w:rsidRDefault="006F4CD7" w:rsidP="006F4CD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</w:t>
      </w:r>
    </w:p>
    <w:p w14:paraId="53424C00" w14:textId="252D573A" w:rsidR="006F4CD7" w:rsidRPr="008B3878" w:rsidRDefault="006F4CD7" w:rsidP="006F4CD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25B179A7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1610A">
        <w:rPr>
          <w:sz w:val="24"/>
        </w:rPr>
        <w:t>01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D1610A">
        <w:rPr>
          <w:sz w:val="24"/>
        </w:rPr>
        <w:t>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30149E">
        <w:rPr>
          <w:sz w:val="24"/>
          <w:szCs w:val="24"/>
        </w:rPr>
        <w:t>обращению</w:t>
      </w:r>
      <w:r w:rsidR="00D1610A">
        <w:rPr>
          <w:sz w:val="24"/>
          <w:szCs w:val="24"/>
        </w:rPr>
        <w:t xml:space="preserve"> (частному постановлению)</w:t>
      </w:r>
      <w:r w:rsidR="0030149E">
        <w:rPr>
          <w:sz w:val="24"/>
          <w:szCs w:val="24"/>
        </w:rPr>
        <w:t xml:space="preserve"> </w:t>
      </w:r>
      <w:r w:rsidR="00D1610A">
        <w:rPr>
          <w:sz w:val="24"/>
          <w:szCs w:val="24"/>
        </w:rPr>
        <w:t xml:space="preserve">мирового судьи </w:t>
      </w:r>
      <w:proofErr w:type="spellStart"/>
      <w:r w:rsidR="00D1610A">
        <w:rPr>
          <w:sz w:val="24"/>
          <w:szCs w:val="24"/>
        </w:rPr>
        <w:t>с.у</w:t>
      </w:r>
      <w:proofErr w:type="spellEnd"/>
      <w:r w:rsidR="00D1610A">
        <w:rPr>
          <w:sz w:val="24"/>
          <w:szCs w:val="24"/>
        </w:rPr>
        <w:t xml:space="preserve">. № </w:t>
      </w:r>
      <w:r w:rsidR="006604BE">
        <w:rPr>
          <w:sz w:val="24"/>
          <w:szCs w:val="24"/>
        </w:rPr>
        <w:t>Х</w:t>
      </w:r>
      <w:r w:rsidR="00D1610A">
        <w:rPr>
          <w:sz w:val="24"/>
          <w:szCs w:val="24"/>
        </w:rPr>
        <w:t xml:space="preserve"> К</w:t>
      </w:r>
      <w:r w:rsidR="006604BE">
        <w:rPr>
          <w:sz w:val="24"/>
          <w:szCs w:val="24"/>
        </w:rPr>
        <w:t>.</w:t>
      </w:r>
      <w:r w:rsidR="00D1610A">
        <w:rPr>
          <w:sz w:val="24"/>
          <w:szCs w:val="24"/>
        </w:rPr>
        <w:t>В.Н.</w:t>
      </w:r>
      <w:r w:rsidR="00502664" w:rsidRPr="0000209B">
        <w:rPr>
          <w:sz w:val="24"/>
          <w:szCs w:val="24"/>
        </w:rPr>
        <w:t xml:space="preserve"> в </w:t>
      </w:r>
      <w:r w:rsidR="00502664" w:rsidRPr="00D15EA3">
        <w:rPr>
          <w:sz w:val="24"/>
          <w:szCs w:val="24"/>
        </w:rPr>
        <w:t xml:space="preserve">отношении адвоката </w:t>
      </w:r>
      <w:r w:rsidR="00D1610A">
        <w:rPr>
          <w:sz w:val="24"/>
          <w:szCs w:val="24"/>
        </w:rPr>
        <w:t>Т</w:t>
      </w:r>
      <w:r w:rsidR="006604BE">
        <w:rPr>
          <w:sz w:val="24"/>
          <w:szCs w:val="24"/>
        </w:rPr>
        <w:t>.</w:t>
      </w:r>
      <w:r w:rsidR="00D1610A">
        <w:rPr>
          <w:sz w:val="24"/>
          <w:szCs w:val="24"/>
        </w:rPr>
        <w:t>П.Ю.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BDEF819" w14:textId="4A9D34F2" w:rsidR="00D1610A" w:rsidRDefault="003070CE" w:rsidP="00300630">
      <w:pPr>
        <w:jc w:val="both"/>
      </w:pPr>
      <w:r>
        <w:tab/>
      </w:r>
      <w:r w:rsidR="00A57011">
        <w:t>07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30149E">
        <w:t xml:space="preserve">о </w:t>
      </w:r>
      <w:r w:rsidR="00774412">
        <w:t xml:space="preserve">вышеуказанное </w:t>
      </w:r>
      <w:r w:rsidR="0030149E">
        <w:t xml:space="preserve">обращение </w:t>
      </w:r>
      <w:r w:rsidR="00A57011">
        <w:t xml:space="preserve">в отношении адвоката </w:t>
      </w:r>
      <w:r w:rsidR="00D1610A">
        <w:t>Т</w:t>
      </w:r>
      <w:r w:rsidR="006604BE">
        <w:t>.</w:t>
      </w:r>
      <w:r w:rsidR="00D1610A">
        <w:t>П.Ю.</w:t>
      </w:r>
      <w:r w:rsidR="00A57011">
        <w:t xml:space="preserve">, в котором сообщается, что </w:t>
      </w:r>
      <w:r w:rsidR="00D1610A">
        <w:t>адвокат осуществляет защиту К</w:t>
      </w:r>
      <w:r w:rsidR="006604BE">
        <w:t>.</w:t>
      </w:r>
      <w:r w:rsidR="00D1610A">
        <w:t>С.И. 07.09.2022 г. адвокат не явился в судебное заседание</w:t>
      </w:r>
      <w:r w:rsidR="00025013">
        <w:t xml:space="preserve">, </w:t>
      </w:r>
      <w:r w:rsidR="00D1610A">
        <w:t>направил ходатайство об отложении</w:t>
      </w:r>
      <w:r w:rsidR="00B75889">
        <w:t xml:space="preserve"> судебного заседания, 18.10.2022 г. в судебное заседание не явился, ходатайство об отложении направил в суд на следующий день, представил в суд график своей занятости, 02.11.2022 г. адвокат в судебное заседание не явился, ходатайство об отложении судебного заседания в суд не направил, 14.11.2022 г. (дата выбрана с учётом занятости) адвокат в судебное заседание не явился. Суд предложил К</w:t>
      </w:r>
      <w:r w:rsidR="006604BE">
        <w:t>.</w:t>
      </w:r>
      <w:r w:rsidR="00B75889">
        <w:t>С.И. заменить защитника. Из шести судебных заседаний адвокат без уважительных причин отсутствовал в четырёх.</w:t>
      </w:r>
    </w:p>
    <w:p w14:paraId="512ED5C0" w14:textId="3C987DAF" w:rsidR="00B75889" w:rsidRDefault="00B75889" w:rsidP="00300630">
      <w:pPr>
        <w:jc w:val="both"/>
      </w:pPr>
      <w:r>
        <w:tab/>
        <w:t>К обращению заявителя документы не приложены.</w:t>
      </w:r>
    </w:p>
    <w:p w14:paraId="1733A6B2" w14:textId="77777777" w:rsidR="00C16383" w:rsidRDefault="00C16383" w:rsidP="00300630">
      <w:pPr>
        <w:jc w:val="both"/>
      </w:pPr>
      <w:r>
        <w:tab/>
        <w:t xml:space="preserve">Адвокатом представлены письменные объяснения, в которых он сообщает, что суд предвзято относится к его подзащитному, из шести судебных заседаний только назначенное на 14.11.2022 г. отложено из-за неявки защитника, остальные по различным причинам. О судебном заседании на 14.11.2022 г. адвокат узнал от своего подзащитного, выехал в суд, но не успел к 9.00. Со слов помощника судьи дело было отложено из-за неявки потерпевшего и его представителя. 23.11.2022 г. судебное заседание отложено не из-за неявки защитника, адвокат был в суде и подал ходатайство об отложении из-за болезни подзащитного. </w:t>
      </w:r>
    </w:p>
    <w:p w14:paraId="51F818E6" w14:textId="77777777" w:rsidR="00C16383" w:rsidRDefault="00C16383" w:rsidP="00300630">
      <w:pPr>
        <w:jc w:val="both"/>
      </w:pPr>
      <w:r>
        <w:t>- ходатайство адвоката об отложении судебного заседания с указанием графика занятости адвоката;</w:t>
      </w:r>
    </w:p>
    <w:p w14:paraId="5134EFE1" w14:textId="087F54BF" w:rsidR="00C16383" w:rsidRDefault="00C16383" w:rsidP="00300630">
      <w:pPr>
        <w:jc w:val="both"/>
      </w:pPr>
      <w:r>
        <w:t>- карточки движения дела (14.11 и 23.11 судебные заседания откладывались из-за неявки защитника);</w:t>
      </w:r>
    </w:p>
    <w:p w14:paraId="411A6A5B" w14:textId="37ED319B" w:rsidR="00C16383" w:rsidRDefault="00C16383" w:rsidP="00300630">
      <w:pPr>
        <w:jc w:val="both"/>
      </w:pPr>
      <w:r>
        <w:t>- медицинских документов К</w:t>
      </w:r>
      <w:r w:rsidR="006604BE">
        <w:t>.</w:t>
      </w:r>
      <w:r>
        <w:t xml:space="preserve">С.И.  </w:t>
      </w:r>
    </w:p>
    <w:p w14:paraId="6E4813E0" w14:textId="12769982" w:rsidR="006F4CD7" w:rsidRDefault="006F4CD7" w:rsidP="006F4CD7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6AEBCEB7" w14:textId="51CE9AD0" w:rsidR="006F4CD7" w:rsidRDefault="006F4CD7" w:rsidP="006F4CD7">
      <w:pPr>
        <w:ind w:firstLine="708"/>
        <w:jc w:val="both"/>
      </w:pPr>
      <w:r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AB2C840" w14:textId="4F993368" w:rsidR="006F4CD7" w:rsidRDefault="006F4CD7" w:rsidP="006F4CD7">
      <w:pPr>
        <w:ind w:firstLine="708"/>
        <w:jc w:val="both"/>
        <w:rPr>
          <w:rFonts w:eastAsia="Calibri"/>
          <w:color w:val="auto"/>
          <w:szCs w:val="24"/>
        </w:rPr>
      </w:pPr>
      <w:r w:rsidRPr="007C2361">
        <w:rPr>
          <w:color w:val="auto"/>
          <w:szCs w:val="24"/>
        </w:rPr>
        <w:t xml:space="preserve">Как указывается в Определении КС РФ от 15.07.2008 г. № 456-О-О, </w:t>
      </w:r>
      <w:r>
        <w:rPr>
          <w:rFonts w:eastAsia="Calibri"/>
          <w:color w:val="auto"/>
          <w:szCs w:val="24"/>
        </w:rPr>
        <w:t>с</w:t>
      </w:r>
      <w:r w:rsidRPr="007C2361">
        <w:rPr>
          <w:rFonts w:eastAsia="Calibri"/>
          <w:color w:val="auto"/>
          <w:szCs w:val="24"/>
        </w:rPr>
        <w:t>ообщение суда (судьи) в адрес адвокатской палаты является одним из поводов для возбуждения дисциплинарного производства в отношении адвоката (</w:t>
      </w:r>
      <w:proofErr w:type="spellStart"/>
      <w:r w:rsidRPr="007C2361">
        <w:rPr>
          <w:rFonts w:eastAsia="Calibri"/>
          <w:color w:val="auto"/>
          <w:szCs w:val="24"/>
        </w:rPr>
        <w:fldChar w:fldCharType="begin"/>
      </w:r>
      <w:r w:rsidRPr="007C2361">
        <w:rPr>
          <w:rFonts w:eastAsia="Calibri"/>
          <w:color w:val="auto"/>
          <w:szCs w:val="24"/>
        </w:rPr>
        <w:instrText>HYPERLINK "garantF1://12030519.2014"</w:instrText>
      </w:r>
      <w:r w:rsidRPr="007C2361">
        <w:rPr>
          <w:rFonts w:eastAsia="Calibri"/>
          <w:color w:val="auto"/>
          <w:szCs w:val="24"/>
        </w:rPr>
      </w:r>
      <w:r w:rsidRPr="007C2361">
        <w:rPr>
          <w:rFonts w:eastAsia="Calibri"/>
          <w:color w:val="auto"/>
          <w:szCs w:val="24"/>
        </w:rPr>
        <w:fldChar w:fldCharType="separate"/>
      </w:r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>. 4 п. 1 ст.</w:t>
      </w:r>
      <w:r w:rsidRPr="007C2361">
        <w:rPr>
          <w:rFonts w:eastAsia="Calibri"/>
          <w:color w:val="auto"/>
          <w:szCs w:val="24"/>
        </w:rPr>
        <w:t xml:space="preserve"> 20</w:t>
      </w:r>
      <w:r w:rsidRPr="007C2361">
        <w:rPr>
          <w:rFonts w:eastAsia="Calibri"/>
          <w:color w:val="auto"/>
          <w:szCs w:val="24"/>
        </w:rPr>
        <w:fldChar w:fldCharType="end"/>
      </w:r>
      <w:r>
        <w:rPr>
          <w:rFonts w:eastAsia="Calibri"/>
          <w:color w:val="auto"/>
          <w:szCs w:val="24"/>
        </w:rPr>
        <w:t xml:space="preserve"> </w:t>
      </w:r>
      <w:r w:rsidRPr="007C2361">
        <w:rPr>
          <w:rFonts w:eastAsia="Calibri"/>
          <w:color w:val="auto"/>
          <w:szCs w:val="24"/>
        </w:rPr>
        <w:t xml:space="preserve">Кодекса </w:t>
      </w:r>
      <w:r>
        <w:rPr>
          <w:rFonts w:eastAsia="Calibri"/>
          <w:color w:val="auto"/>
          <w:szCs w:val="24"/>
        </w:rPr>
        <w:t>профессиональной этики адвоката</w:t>
      </w:r>
      <w:r w:rsidRPr="007C2361">
        <w:rPr>
          <w:rFonts w:eastAsia="Calibri"/>
          <w:color w:val="auto"/>
          <w:szCs w:val="24"/>
        </w:rPr>
        <w:t>). 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сообщества, для которых частное определение или постановление суда не имеет преюдициальной силы (</w:t>
      </w:r>
      <w:proofErr w:type="spellStart"/>
      <w:r w:rsidRPr="007C2361">
        <w:rPr>
          <w:rFonts w:eastAsia="Calibri"/>
          <w:color w:val="auto"/>
          <w:szCs w:val="24"/>
        </w:rPr>
        <w:fldChar w:fldCharType="begin"/>
      </w:r>
      <w:r w:rsidRPr="007C2361">
        <w:rPr>
          <w:rFonts w:eastAsia="Calibri"/>
          <w:color w:val="auto"/>
          <w:szCs w:val="24"/>
        </w:rPr>
        <w:instrText>HYPERLINK "garantF1://12026961.31038"</w:instrText>
      </w:r>
      <w:r w:rsidRPr="007C2361">
        <w:rPr>
          <w:rFonts w:eastAsia="Calibri"/>
          <w:color w:val="auto"/>
          <w:szCs w:val="24"/>
        </w:rPr>
      </w:r>
      <w:r w:rsidRPr="007C2361">
        <w:rPr>
          <w:rFonts w:eastAsia="Calibri"/>
          <w:color w:val="auto"/>
          <w:szCs w:val="24"/>
        </w:rPr>
        <w:fldChar w:fldCharType="separate"/>
      </w:r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>. 9 п.</w:t>
      </w:r>
      <w:r w:rsidRPr="007C2361">
        <w:rPr>
          <w:rFonts w:eastAsia="Calibri"/>
          <w:color w:val="auto"/>
          <w:szCs w:val="24"/>
        </w:rPr>
        <w:t xml:space="preserve"> 3</w:t>
      </w:r>
      <w:r w:rsidRPr="007C2361">
        <w:rPr>
          <w:rFonts w:eastAsia="Calibri"/>
          <w:color w:val="auto"/>
          <w:szCs w:val="24"/>
        </w:rPr>
        <w:fldChar w:fldCharType="end"/>
      </w:r>
      <w:r w:rsidRPr="007C2361">
        <w:rPr>
          <w:rFonts w:eastAsia="Calibri"/>
          <w:color w:val="auto"/>
          <w:szCs w:val="24"/>
        </w:rPr>
        <w:t xml:space="preserve">, </w:t>
      </w:r>
      <w:hyperlink r:id="rId8" w:history="1">
        <w:r>
          <w:rPr>
            <w:rFonts w:eastAsia="Calibri"/>
            <w:color w:val="auto"/>
            <w:szCs w:val="24"/>
          </w:rPr>
          <w:t>п. 7 ст.</w:t>
        </w:r>
        <w:r w:rsidRPr="007C2361">
          <w:rPr>
            <w:rFonts w:eastAsia="Calibri"/>
            <w:color w:val="auto"/>
            <w:szCs w:val="24"/>
          </w:rPr>
          <w:t xml:space="preserve"> 31</w:t>
        </w:r>
      </w:hyperlink>
      <w:r w:rsidRPr="007C2361">
        <w:rPr>
          <w:rFonts w:eastAsia="Calibri"/>
          <w:color w:val="auto"/>
          <w:szCs w:val="24"/>
        </w:rPr>
        <w:t xml:space="preserve">, </w:t>
      </w:r>
      <w:hyperlink r:id="rId9" w:history="1">
        <w:r>
          <w:rPr>
            <w:rFonts w:eastAsia="Calibri"/>
            <w:color w:val="auto"/>
            <w:szCs w:val="24"/>
          </w:rPr>
          <w:t>п. 7 ст.</w:t>
        </w:r>
        <w:r w:rsidRPr="007C2361">
          <w:rPr>
            <w:rFonts w:eastAsia="Calibri"/>
            <w:color w:val="auto"/>
            <w:szCs w:val="24"/>
          </w:rPr>
          <w:t xml:space="preserve"> 33</w:t>
        </w:r>
      </w:hyperlink>
      <w:r>
        <w:rPr>
          <w:rFonts w:eastAsia="Calibri"/>
          <w:color w:val="auto"/>
          <w:szCs w:val="24"/>
        </w:rPr>
        <w:t xml:space="preserve"> ФЗ от 31.05.2002 г. № 63-ФЗ «</w:t>
      </w:r>
      <w:r w:rsidRPr="007C2361">
        <w:rPr>
          <w:rFonts w:eastAsia="Calibri"/>
          <w:color w:val="auto"/>
          <w:szCs w:val="24"/>
        </w:rPr>
        <w:t>Об адвокатской деятельности и ад</w:t>
      </w:r>
      <w:r>
        <w:rPr>
          <w:rFonts w:eastAsia="Calibri"/>
          <w:color w:val="auto"/>
          <w:szCs w:val="24"/>
        </w:rPr>
        <w:t>вокатуре в РФ»</w:t>
      </w:r>
      <w:r w:rsidRPr="007C2361">
        <w:rPr>
          <w:rFonts w:eastAsia="Calibri"/>
          <w:color w:val="auto"/>
          <w:szCs w:val="24"/>
        </w:rPr>
        <w:t>).</w:t>
      </w:r>
    </w:p>
    <w:p w14:paraId="43560CA6" w14:textId="6BE52E91" w:rsidR="006F4CD7" w:rsidRPr="006F4CD7" w:rsidRDefault="006F4CD7" w:rsidP="006F4CD7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7DC3158C" w14:textId="7A3A4444" w:rsidR="006F4CD7" w:rsidRPr="00B3450A" w:rsidRDefault="006F4CD7" w:rsidP="006F4CD7">
      <w:pPr>
        <w:ind w:firstLine="720"/>
        <w:jc w:val="both"/>
      </w:pPr>
      <w:r>
        <w:t xml:space="preserve">В силу </w:t>
      </w:r>
      <w:proofErr w:type="spellStart"/>
      <w:r>
        <w:t>п.п</w:t>
      </w:r>
      <w:proofErr w:type="spellEnd"/>
      <w:r>
        <w:t xml:space="preserve">. 7 п. 2 ст. 20 КПЭА,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14:paraId="191D27B9" w14:textId="334252B7" w:rsidR="006F4CD7" w:rsidRDefault="006F4CD7" w:rsidP="006F4CD7">
      <w:pPr>
        <w:ind w:firstLine="720"/>
        <w:jc w:val="both"/>
      </w:pPr>
      <w:r>
        <w:t xml:space="preserve">Таким образом, доводы обращения суда (судьи), как и любого другого обращения (жалобы) в отношении адвоката, являющегося допустимым поводом для возбуждения дисциплинарного производства, должны подтверждаться надлежащими, непротиворечивыми доказательствами. </w:t>
      </w:r>
    </w:p>
    <w:p w14:paraId="126BF6C6" w14:textId="0A3B40F1" w:rsidR="00C54EFA" w:rsidRDefault="00C54EFA" w:rsidP="00C54EFA">
      <w:pPr>
        <w:ind w:firstLine="720"/>
        <w:jc w:val="both"/>
      </w:pPr>
      <w:r>
        <w:t>В силу ст. 12 КПЭА, участвуя в судопроизводстве адвокат должен проявлять уважение к суду. 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0A09C6B0" w14:textId="50AEDBD5" w:rsidR="0026243B" w:rsidRDefault="0026243B" w:rsidP="006F4CD7">
      <w:pPr>
        <w:ind w:firstLine="720"/>
        <w:jc w:val="both"/>
      </w:pPr>
      <w:r>
        <w:t xml:space="preserve">Согласно представленной Комиссии карточки движения дела, судебные заседания дважды откладывались из-за неявки защитника: 14.11 и 23.11.2022 г. В остальные даты причинами отложения судебных заседаний выступали: 07.09.2022 г. – неявка подсудимого, 18.10.2022 г. – неявка подсудимого, 02.11.2022 г. – истребование доказательств. При этом, Комиссии адвокатом представлена копия его ходатайства от 23.11.2022 г. об отложении судебного заседания в связи с болезнью подзащитного, на котором имеется </w:t>
      </w:r>
      <w:r w:rsidR="00C54EFA">
        <w:t>отметка</w:t>
      </w:r>
      <w:r>
        <w:t xml:space="preserve"> суда о его получении.</w:t>
      </w:r>
      <w:r w:rsidR="00C54EFA">
        <w:t xml:space="preserve"> Иных дат обращение заявителя не содержит.</w:t>
      </w:r>
    </w:p>
    <w:p w14:paraId="70118F50" w14:textId="625C27F0" w:rsidR="0026243B" w:rsidRDefault="0026243B" w:rsidP="006F4CD7">
      <w:pPr>
        <w:ind w:firstLine="720"/>
        <w:jc w:val="both"/>
      </w:pPr>
      <w:r>
        <w:t xml:space="preserve">Одновременно, адвокат не отрицает, что не явился в судебное заседание, назначенное на 14.11.2022 г., объясняя это нет, что поздно узнал о дате судебного заседания, выехал в суд к 9.00, на не успел. Комиссия </w:t>
      </w:r>
      <w:r w:rsidR="00C54EFA">
        <w:t>не соглашается с адвокатом, поскольку если он полагал, что извещён ненадлежащим образом и это препятствует его участию в процессе, то необходимо было ходатайствовать об отложении судебного разбирательства на более поздний срок. Вместе с тем, дата судебного заседания была выбрана судом с учётом занятости адвоката и, действуя разумно и добросовестно, последний должен был узнать о дате судебного заседания от суда, а не от своего подзащитного. Кроме того, адвокат выехал в судебное заседание, но опоздал. Судебное заседание 14.11.2022 г. было назначено на 09.00, причины неявки в судебное заседание связаны только с действиями адвоката.</w:t>
      </w:r>
    </w:p>
    <w:p w14:paraId="40482A8D" w14:textId="7B80849D" w:rsidR="0030149E" w:rsidRDefault="00A541EF" w:rsidP="00A541EF">
      <w:pPr>
        <w:ind w:firstLine="720"/>
        <w:jc w:val="both"/>
      </w:pPr>
      <w:r>
        <w:t>На основании изложенного, оценив представленные доказательства, Комиссия приходит к выводу о наличии в действиях адвоката нарушения п. 1 ст. 14 КПЭА.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912660"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553EC6D" w14:textId="70317E1E" w:rsidR="00A541EF" w:rsidRDefault="007F7227" w:rsidP="00365C79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025013">
        <w:rPr>
          <w:szCs w:val="24"/>
        </w:rPr>
        <w:t xml:space="preserve"> </w:t>
      </w:r>
      <w:r w:rsidRPr="0003690F">
        <w:rPr>
          <w:szCs w:val="24"/>
        </w:rPr>
        <w:t xml:space="preserve">о наличии в действиях адвоката </w:t>
      </w:r>
      <w:r w:rsidR="00A541EF">
        <w:rPr>
          <w:szCs w:val="24"/>
        </w:rPr>
        <w:t>Т</w:t>
      </w:r>
      <w:r w:rsidR="006604BE">
        <w:rPr>
          <w:szCs w:val="24"/>
        </w:rPr>
        <w:t>.</w:t>
      </w:r>
      <w:r w:rsidR="00A541EF">
        <w:rPr>
          <w:szCs w:val="24"/>
        </w:rPr>
        <w:t>П</w:t>
      </w:r>
      <w:r w:rsidR="006604BE">
        <w:rPr>
          <w:szCs w:val="24"/>
        </w:rPr>
        <w:t>.</w:t>
      </w:r>
      <w:r w:rsidR="00A541EF">
        <w:rPr>
          <w:szCs w:val="24"/>
        </w:rPr>
        <w:t>Ю</w:t>
      </w:r>
      <w:r w:rsidR="006604BE">
        <w:rPr>
          <w:szCs w:val="24"/>
        </w:rPr>
        <w:t>.</w:t>
      </w:r>
      <w:r w:rsidR="00A541EF">
        <w:rPr>
          <w:szCs w:val="24"/>
        </w:rPr>
        <w:t xml:space="preserve"> нарушения п. 1 ст. 14 КПЭА, выразившееся в том, что при обстоятельствах, изложенных в обращении (частном постановлении) мирового судьи </w:t>
      </w:r>
      <w:proofErr w:type="spellStart"/>
      <w:r w:rsidR="00A541EF">
        <w:rPr>
          <w:szCs w:val="24"/>
        </w:rPr>
        <w:t>с.у</w:t>
      </w:r>
      <w:proofErr w:type="spellEnd"/>
      <w:r w:rsidR="00A541EF">
        <w:rPr>
          <w:szCs w:val="24"/>
        </w:rPr>
        <w:t xml:space="preserve">. № </w:t>
      </w:r>
      <w:r w:rsidR="006604BE">
        <w:rPr>
          <w:szCs w:val="24"/>
        </w:rPr>
        <w:t>Х</w:t>
      </w:r>
      <w:r w:rsidR="00A541EF">
        <w:rPr>
          <w:szCs w:val="24"/>
        </w:rPr>
        <w:t xml:space="preserve"> К</w:t>
      </w:r>
      <w:r w:rsidR="006604BE">
        <w:rPr>
          <w:szCs w:val="24"/>
        </w:rPr>
        <w:t>.</w:t>
      </w:r>
      <w:r w:rsidR="00A541EF">
        <w:rPr>
          <w:szCs w:val="24"/>
        </w:rPr>
        <w:t>В.Н., адвокат допустил неявку без уважительных причин в судебное заседание по уголовному делу по обвинению К</w:t>
      </w:r>
      <w:r w:rsidR="006604BE">
        <w:rPr>
          <w:szCs w:val="24"/>
        </w:rPr>
        <w:t>.</w:t>
      </w:r>
      <w:r w:rsidR="00A541EF">
        <w:rPr>
          <w:szCs w:val="24"/>
        </w:rPr>
        <w:t>С.И., назначенное на 14.11.2022 г., об отложении судебного заседания заблаговременно не ходатайствовал</w:t>
      </w:r>
      <w:r w:rsidR="00E90769">
        <w:rPr>
          <w:szCs w:val="24"/>
        </w:rPr>
        <w:t>, доказательств уважительности причин неявки суду не представил.</w:t>
      </w:r>
    </w:p>
    <w:p w14:paraId="327B91BB" w14:textId="77777777" w:rsidR="00A541EF" w:rsidRDefault="00A541EF" w:rsidP="00365C79">
      <w:pPr>
        <w:ind w:firstLine="708"/>
        <w:jc w:val="both"/>
        <w:rPr>
          <w:szCs w:val="24"/>
        </w:rPr>
      </w:pPr>
    </w:p>
    <w:p w14:paraId="142FB0A0" w14:textId="77777777" w:rsidR="00A541EF" w:rsidRDefault="00A541EF" w:rsidP="00365C79">
      <w:pPr>
        <w:ind w:firstLine="708"/>
        <w:jc w:val="both"/>
        <w:rPr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F5FF" w14:textId="77777777" w:rsidR="00CF23FC" w:rsidRDefault="00CF23FC">
      <w:r>
        <w:separator/>
      </w:r>
    </w:p>
  </w:endnote>
  <w:endnote w:type="continuationSeparator" w:id="0">
    <w:p w14:paraId="794E165D" w14:textId="77777777" w:rsidR="00CF23FC" w:rsidRDefault="00CF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A68C" w14:textId="77777777" w:rsidR="00CF23FC" w:rsidRDefault="00CF23FC">
      <w:r>
        <w:separator/>
      </w:r>
    </w:p>
  </w:footnote>
  <w:footnote w:type="continuationSeparator" w:id="0">
    <w:p w14:paraId="2B72AFE7" w14:textId="77777777" w:rsidR="00CF23FC" w:rsidRDefault="00CF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2718518">
    <w:abstractNumId w:val="19"/>
  </w:num>
  <w:num w:numId="2" w16cid:durableId="1834877571">
    <w:abstractNumId w:val="8"/>
  </w:num>
  <w:num w:numId="3" w16cid:durableId="220944470">
    <w:abstractNumId w:val="21"/>
  </w:num>
  <w:num w:numId="4" w16cid:durableId="78718937">
    <w:abstractNumId w:val="0"/>
  </w:num>
  <w:num w:numId="5" w16cid:durableId="487283390">
    <w:abstractNumId w:val="1"/>
  </w:num>
  <w:num w:numId="6" w16cid:durableId="518783935">
    <w:abstractNumId w:val="10"/>
  </w:num>
  <w:num w:numId="7" w16cid:durableId="245655656">
    <w:abstractNumId w:val="11"/>
  </w:num>
  <w:num w:numId="8" w16cid:durableId="1440835084">
    <w:abstractNumId w:val="6"/>
  </w:num>
  <w:num w:numId="9" w16cid:durableId="9845529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9221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9280713">
    <w:abstractNumId w:val="23"/>
  </w:num>
  <w:num w:numId="12" w16cid:durableId="2128742366">
    <w:abstractNumId w:val="3"/>
  </w:num>
  <w:num w:numId="13" w16cid:durableId="1966960693">
    <w:abstractNumId w:val="16"/>
  </w:num>
  <w:num w:numId="14" w16cid:durableId="1842087254">
    <w:abstractNumId w:val="20"/>
  </w:num>
  <w:num w:numId="15" w16cid:durableId="15977914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038840">
    <w:abstractNumId w:val="2"/>
  </w:num>
  <w:num w:numId="17" w16cid:durableId="8987103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5633010">
    <w:abstractNumId w:val="17"/>
  </w:num>
  <w:num w:numId="19" w16cid:durableId="357780596">
    <w:abstractNumId w:val="15"/>
  </w:num>
  <w:num w:numId="20" w16cid:durableId="989678240">
    <w:abstractNumId w:val="9"/>
  </w:num>
  <w:num w:numId="21" w16cid:durableId="1760364479">
    <w:abstractNumId w:val="12"/>
  </w:num>
  <w:num w:numId="22" w16cid:durableId="957220794">
    <w:abstractNumId w:val="14"/>
  </w:num>
  <w:num w:numId="23" w16cid:durableId="456415367">
    <w:abstractNumId w:val="18"/>
  </w:num>
  <w:num w:numId="24" w16cid:durableId="1198200603">
    <w:abstractNumId w:val="4"/>
  </w:num>
  <w:num w:numId="25" w16cid:durableId="1487358806">
    <w:abstractNumId w:val="13"/>
  </w:num>
  <w:num w:numId="26" w16cid:durableId="980499851">
    <w:abstractNumId w:val="22"/>
  </w:num>
  <w:num w:numId="27" w16cid:durableId="1099060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013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43B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04BE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4CD7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76A16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1EF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4758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6383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4EFA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2F6"/>
    <w:rsid w:val="00CD4255"/>
    <w:rsid w:val="00CD692A"/>
    <w:rsid w:val="00CE0517"/>
    <w:rsid w:val="00CE343D"/>
    <w:rsid w:val="00CE4839"/>
    <w:rsid w:val="00CF20BA"/>
    <w:rsid w:val="00CF23FC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769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6961.3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6961.3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1001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2023-01-10T10:27:00Z</cp:lastPrinted>
  <dcterms:created xsi:type="dcterms:W3CDTF">2023-01-10T10:27:00Z</dcterms:created>
  <dcterms:modified xsi:type="dcterms:W3CDTF">2023-01-17T14:18:00Z</dcterms:modified>
</cp:coreProperties>
</file>